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9E" w:rsidRPr="00B11E9E" w:rsidRDefault="00B11E9E" w:rsidP="00B11E9E">
      <w:pPr>
        <w:spacing w:before="120" w:after="0"/>
        <w:jc w:val="center"/>
        <w:rPr>
          <w:rFonts w:asciiTheme="minorHAnsi" w:eastAsia="Times New Roman" w:hAnsiTheme="minorHAnsi" w:cs="Times New Roman"/>
          <w:b/>
          <w:caps/>
          <w:lang w:eastAsia="pt-BR"/>
        </w:rPr>
      </w:pPr>
      <w:bookmarkStart w:id="0" w:name="_GoBack"/>
      <w:r w:rsidRPr="00B11E9E">
        <w:rPr>
          <w:rFonts w:asciiTheme="minorHAnsi" w:eastAsia="Times New Roman" w:hAnsiTheme="minorHAnsi" w:cs="Times New Roman"/>
          <w:b/>
          <w:caps/>
          <w:lang w:eastAsia="pt-BR"/>
        </w:rPr>
        <w:t xml:space="preserve">Resolução Nº 4.339, de 20 de Junho de </w:t>
      </w:r>
      <w:proofErr w:type="gramStart"/>
      <w:r w:rsidRPr="00B11E9E">
        <w:rPr>
          <w:rFonts w:asciiTheme="minorHAnsi" w:eastAsia="Times New Roman" w:hAnsiTheme="minorHAnsi" w:cs="Times New Roman"/>
          <w:b/>
          <w:caps/>
          <w:lang w:eastAsia="pt-BR"/>
        </w:rPr>
        <w:t>2014</w:t>
      </w:r>
      <w:proofErr w:type="gramEnd"/>
    </w:p>
    <w:bookmarkEnd w:id="0"/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</w:p>
    <w:p w:rsidR="00B11E9E" w:rsidRPr="00B11E9E" w:rsidRDefault="00B11E9E" w:rsidP="00B11E9E">
      <w:pPr>
        <w:spacing w:before="120" w:after="0"/>
        <w:ind w:left="4536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 xml:space="preserve">Dispõe sobre ajustes nas normas do Programa Nacional de Fortalecimento da Agricultura Familiar (Pronaf), de que trata o Capítulo 10 do Manual de Crédito Rural (MCR), para aplicação a partir do ano agrícola 2014/2015. 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 xml:space="preserve">O Banco Central do Brasil, na forma do art. 9º da Lei nº 4.595, de 31 de dezembro de 1964, torna público que o Conselho Monetário Nacional, em sessão extraordinária realizada em 20 de junho de 2014, tendo em vista as disposições do art. 4º, inciso 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VI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 xml:space="preserve">, da Lei nº 4.595, de 1964, dos </w:t>
      </w:r>
      <w:proofErr w:type="spellStart"/>
      <w:r w:rsidRPr="00B11E9E">
        <w:rPr>
          <w:rFonts w:asciiTheme="minorHAnsi" w:eastAsia="Times New Roman" w:hAnsiTheme="minorHAnsi" w:cs="Times New Roman"/>
          <w:lang w:eastAsia="pt-BR"/>
        </w:rPr>
        <w:t>arts</w:t>
      </w:r>
      <w:proofErr w:type="spellEnd"/>
      <w:r w:rsidRPr="00B11E9E">
        <w:rPr>
          <w:rFonts w:asciiTheme="minorHAnsi" w:eastAsia="Times New Roman" w:hAnsiTheme="minorHAnsi" w:cs="Times New Roman"/>
          <w:lang w:eastAsia="pt-BR"/>
        </w:rPr>
        <w:t xml:space="preserve">. 4º e 14 da Lei nº 4.829, de 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5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 xml:space="preserve"> de novembro de 1965, e do art. 2º do Decreto nº 8.026, de 6 de junho de 2013,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 xml:space="preserve">R E S O L V E 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U :</w:t>
      </w:r>
      <w:proofErr w:type="gramEnd"/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>Art. 1º  Os itens 14, 38 e 39 da Seção 1 (Disposições Gerais) do Capítulo 10 (Programa Nacional de Fortalecimento da Agricultura Familiar – Pronaf) do Manual de Crédito Rural (MCR) passam a vigorar com a seguinte redação: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 xml:space="preserve">“14 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- ...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>.........................................................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 xml:space="preserve">b) no ano agrícola 2014/2015, no cálculo da capacidade de pagamento, especificado em projeto técnico, fique comprovado que, no mínimo, 20% (vinte por cento) da receita gerada pela unidade de produção 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tenha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 xml:space="preserve"> origem em outras atividades que não o fumo.” (NR)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 xml:space="preserve">“38 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- ...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>.........................................................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>b) itens usados: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 xml:space="preserve">I - de valor financiado de até </w:t>
      </w:r>
      <w:r>
        <w:rPr>
          <w:rFonts w:asciiTheme="minorHAnsi" w:eastAsia="Times New Roman" w:hAnsiTheme="minorHAnsi" w:cs="Times New Roman"/>
          <w:lang w:eastAsia="pt-BR"/>
        </w:rPr>
        <w:t xml:space="preserve">R$ </w:t>
      </w:r>
      <w:r w:rsidRPr="00B11E9E">
        <w:rPr>
          <w:rFonts w:asciiTheme="minorHAnsi" w:eastAsia="Times New Roman" w:hAnsiTheme="minorHAnsi" w:cs="Times New Roman"/>
          <w:lang w:eastAsia="pt-BR"/>
        </w:rPr>
        <w:t xml:space="preserve">70.000,00 (setenta mil reais) quando se tratar de colheitadeira automotriz, e de </w:t>
      </w:r>
      <w:r>
        <w:rPr>
          <w:rFonts w:asciiTheme="minorHAnsi" w:eastAsia="Times New Roman" w:hAnsiTheme="minorHAnsi" w:cs="Times New Roman"/>
          <w:lang w:eastAsia="pt-BR"/>
        </w:rPr>
        <w:t xml:space="preserve">R$ </w:t>
      </w:r>
      <w:r w:rsidRPr="00B11E9E">
        <w:rPr>
          <w:rFonts w:asciiTheme="minorHAnsi" w:eastAsia="Times New Roman" w:hAnsiTheme="minorHAnsi" w:cs="Times New Roman"/>
          <w:lang w:eastAsia="pt-BR"/>
        </w:rPr>
        <w:t xml:space="preserve">50.000,00 (cinquenta mil reais) para os demais casos, observado o disposto no inciso II desta alínea; 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e</w:t>
      </w:r>
      <w:proofErr w:type="gramEnd"/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>II - fabricados no Brasil, revisados e com certificado de garantia emitido por concessionária ou revenda autorizada, podendo o certificado de garantia ser substituído por laudo de avaliação emitido pelo responsável técnico do projeto atestando a fabricação nacional, o perfeito funcionamento, o bom estado de conservação e que a vida útil estimada da máquina ou equipamento é superior ao prazo de reembolso do financiamento.” (NR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)</w:t>
      </w:r>
      <w:proofErr w:type="gramEnd"/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 xml:space="preserve">“39 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- ...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>.........................................................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 xml:space="preserve">f) 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quando se tratar de financiamentos para tratores e caminhões, a nota fiscal referente à aquisição do bem deverá ser emitida pelo fabricante.”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 xml:space="preserve"> (NR)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>Art. 2º  A Seção 2 (Beneficiários) do Capítulo 10 do MCR passa a vigorar com a seguinte redação: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“1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 xml:space="preserve"> - São beneficiários do Programa Nacional de Fortalecimento da Agricultura Familiar (Pronaf) os agricultores e produtores rurais que compõem as unidades familiares de produção rural e que comprovem seu enquadramento mediante apresentação da “Declaração de Aptidão ao Pronaf (DAP)” ativa, observado o que segue: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..................................................................</w:t>
      </w:r>
      <w:proofErr w:type="gramEnd"/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 xml:space="preserve">h) caso a renda bruta anual proveniente de atividades desenvolvidas no estabelecimento seja superior a </w:t>
      </w:r>
      <w:r>
        <w:rPr>
          <w:rFonts w:asciiTheme="minorHAnsi" w:eastAsia="Times New Roman" w:hAnsiTheme="minorHAnsi" w:cs="Times New Roman"/>
          <w:lang w:eastAsia="pt-BR"/>
        </w:rPr>
        <w:t xml:space="preserve">R$ </w:t>
      </w:r>
      <w:r w:rsidRPr="00B11E9E">
        <w:rPr>
          <w:rFonts w:asciiTheme="minorHAnsi" w:eastAsia="Times New Roman" w:hAnsiTheme="minorHAnsi" w:cs="Times New Roman"/>
          <w:lang w:eastAsia="pt-BR"/>
        </w:rPr>
        <w:t xml:space="preserve">1.000,00 (um mil reais), admite-se, exclusivamente para efeito do cômputo da renda </w:t>
      </w:r>
      <w:r w:rsidRPr="00B11E9E">
        <w:rPr>
          <w:rFonts w:asciiTheme="minorHAnsi" w:eastAsia="Times New Roman" w:hAnsiTheme="minorHAnsi" w:cs="Times New Roman"/>
          <w:lang w:eastAsia="pt-BR"/>
        </w:rPr>
        <w:lastRenderedPageBreak/>
        <w:t xml:space="preserve">bruta anual utilizada para o cálculo do percentual de que trata a alínea “d” deste item, a 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exclusão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 xml:space="preserve"> 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de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 xml:space="preserve"> até </w:t>
      </w:r>
      <w:r>
        <w:rPr>
          <w:rFonts w:asciiTheme="minorHAnsi" w:eastAsia="Times New Roman" w:hAnsiTheme="minorHAnsi" w:cs="Times New Roman"/>
          <w:lang w:eastAsia="pt-BR"/>
        </w:rPr>
        <w:t xml:space="preserve">R$ </w:t>
      </w:r>
      <w:r w:rsidRPr="00B11E9E">
        <w:rPr>
          <w:rFonts w:asciiTheme="minorHAnsi" w:eastAsia="Times New Roman" w:hAnsiTheme="minorHAnsi" w:cs="Times New Roman"/>
          <w:lang w:eastAsia="pt-BR"/>
        </w:rPr>
        <w:t>10.000,00 (dez mil reais) da renda anual proveniente de atividades desenvolvidas por membros da família fora do estabelecimento.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>2 - São também beneficiários do Pronaf, mediante apresentação de DAP ativa, as pessoas que: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..................................................................</w:t>
      </w:r>
      <w:proofErr w:type="gramEnd"/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 xml:space="preserve">3 - Os beneficiários do Pronaf definidos nos itens 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1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 xml:space="preserve"> e 2 podem ser enquadrados em grupos especiais deste Programa, mediante apresentação de DAP ativa, conforme as seguintes condições: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..................................................................</w:t>
      </w:r>
      <w:proofErr w:type="gramEnd"/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>5 - A DAP ativa, nos termos estabelecidos pela Secretaria de Agricultura Familiar (SAF) do Ministério do Desenvolvimento Agrário (MDA), é exigida para a concessão de financiamento no âmbito do Pronaf, observado ainda que: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..................................................................</w:t>
      </w:r>
      <w:proofErr w:type="gramEnd"/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>6 - Para efeito de comprovação da vinculação do beneficiário do crédito com a terra e a atividade, a DAP ativa é suficiente para fins de contratação de financiamento do Pronaf na linha de crédito de que trata o MCR 10-13, e a critério da instituição financeira, pode ser utilizada para a contratação de financiamentos de custeio ou de investimento nas demais linhas do Pronaf.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 xml:space="preserve">7 - Os agricultores que têm DAP ativa e que integravam os extintos Grupos “C”, “D” ou “E” do Pronaf, em caso de novos financiamentos, devem ser enquadrados como agricultores familiares conforme definido nos itens 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1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 xml:space="preserve"> e 2.” (NR)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 xml:space="preserve">Art. 3º  A alínea “d” do item 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5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 xml:space="preserve"> da Seção 5 (Créditos de Investimento – Pronaf Mais Alimentos) do Capítulo 10 do MCR passa a vigorar com a seguinte redação: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>“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d)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 xml:space="preserve"> ..............................................................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 xml:space="preserve">I - até 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6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 xml:space="preserve"> (seis) anos, incluído até 1 (um) ano de carência, para caminhonetes de carga e motocicletas adaptadas à atividade rural;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 xml:space="preserve">II - até 15 (quinze) anos, incluídos até 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3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 xml:space="preserve"> (três) anos de carência, para financiamentos de estruturas de armazenagem;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 xml:space="preserve">III - até 10 (dez) anos, incluídos até 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3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 xml:space="preserve"> (três) anos de carência, para os demais itens financiáveis;” (NR)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>Art. 4º  Os itens 2, 3 e 4 da Seção 6 (Crédito de Investimento para Agregação de Renda – Pronaf Agroindústria) do Capítulo 10 do MCR passam a vigorar com a seguinte redação: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 xml:space="preserve">“2 - Considera-se empreendimento familiar rural, de que trata a Lei nº 11.326, de 24/7/2006, a pessoa jurídica constituída com a finalidade de beneficiamento, processamento e comercialização de produtos agropecuários, ou ainda para prestação de serviços de turismo rural, desde que formada exclusivamente por um ou mais beneficiários do Pronaf de que trata o MCR 10-2, comprovado pela apresentação de relação com o número da Declaração de Aptidão ao Pronaf (DAP) ativa de cada sócio, e que, no mínimo, 80% (oitenta por cento) da produção beneficiada, processada ou comercializada seja 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produzida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 xml:space="preserve"> por seus membros.” (NR)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 xml:space="preserve">“3 - Consideram-se cooperativas (singulares ou centrais) ou associações da agricultura familiar, de que trata o § 4º do art. 3º da Lei nº 11.326, de 24/7/2006, aquelas que comprovem que, no mínimo, 60% (sessenta por cento) de seus participantes ativos são beneficiários do Pronaf, comprovado pela apresentação de relação com o número da DAP ativa de cada cooperado ou associado e que, no mínimo, 55% (cinquenta e cinco por cento) da produção beneficiada, </w:t>
      </w:r>
      <w:r w:rsidRPr="00B11E9E">
        <w:rPr>
          <w:rFonts w:asciiTheme="minorHAnsi" w:eastAsia="Times New Roman" w:hAnsiTheme="minorHAnsi" w:cs="Times New Roman"/>
          <w:lang w:eastAsia="pt-BR"/>
        </w:rPr>
        <w:lastRenderedPageBreak/>
        <w:t>processada ou comercializada são oriundos de cooperados ou associados enquadrados no Pronaf, e cujo projeto de financiamento comprove esses mesmos percentuais quanto ao número de participantes e à produção a ser beneficiada, processada ou comercializada referente ao respectivo projeto.” (NR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)</w:t>
      </w:r>
      <w:proofErr w:type="gramEnd"/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 xml:space="preserve">“4 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- ...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>..........................................................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a) ...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>............................................................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 xml:space="preserve">II - os empreendimentos familiares rurais definidos no item 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2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 xml:space="preserve"> que apresentem DAP pessoa jurídica ativa para a agroindústria familiar;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 xml:space="preserve">III - as cooperativas e associações constituídas pelos beneficiários do Pronaf definidos no item 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3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 xml:space="preserve"> que apresentem DAP pessoa jurídica ativa para esta forma de organização;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............................................................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>” (NR)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>Art. 5º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 xml:space="preserve">  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>A alínea “b” do item 2 da Seção 9 (Crédito de Investimento para Mulheres – Pronaf Mulher) passa a vigorar com a seguinte redação: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>“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b)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 xml:space="preserve"> mediante a apresentação da Declaração de Aptidão ao Pronaf (DAP) ativa fornecida pelo Incra ou Unidade Técnica Estadual ou Regional (UTE/UTR) do Crédito Fundiário, conforme o caso, segundo normas definidas pelo Ministério do Desenvolvimento Agrário (MDA).” (NR)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 xml:space="preserve">Art. 6º  O item 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1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 xml:space="preserve"> da Seção 10 (Crédito de Investimento para Jovens – Pronaf Jovem) do Capítulo 10 do MCR passa a vigorar com a seguinte redação: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 xml:space="preserve">“1 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- ...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>..........................................................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>a) beneficiários: jovens maiores de 16 (dezesseis) anos e com até 29 (vinte e nove) anos, integrantes de unidades familiares enquadradas no MCR 10-2, que atendam a uma ou mais das seguintes condições, além da apresentação de Declaração de Aptidão ao Pronaf (DAP) ativa: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..................................................................</w:t>
      </w:r>
      <w:proofErr w:type="gramEnd"/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 xml:space="preserve">II - tenham concluído ou 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estejam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 xml:space="preserve"> cursando o último ano em escolas técnicas agrícolas de nível médio ou, ainda, há mais de um ano, curso de ciências agrárias ou veterinária em instituição de ensino superior, que atendam à legislação em vigor para instituições de ensino;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>III - tenham participado de curso ou estágio de formação profissional que preencham os requisitos definidos pela Secretaria da Agricultura Familiar (SAF) do Ministério do Desenvolvimento Agrário (MDA);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>IV - tenham orientação e acompanhamento de empresa de assistência técnica e extensão rural reconhecida pela SAF/MDA e pela instituição financeira;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>V - tenham participado de cursos de formação do Programa Nacional de Acesso ao Ensino Técnico e Emprego (</w:t>
      </w:r>
      <w:proofErr w:type="spellStart"/>
      <w:r w:rsidRPr="00B11E9E">
        <w:rPr>
          <w:rFonts w:asciiTheme="minorHAnsi" w:eastAsia="Times New Roman" w:hAnsiTheme="minorHAnsi" w:cs="Times New Roman"/>
          <w:lang w:eastAsia="pt-BR"/>
        </w:rPr>
        <w:t>Pronatec</w:t>
      </w:r>
      <w:proofErr w:type="spellEnd"/>
      <w:r w:rsidRPr="00B11E9E">
        <w:rPr>
          <w:rFonts w:asciiTheme="minorHAnsi" w:eastAsia="Times New Roman" w:hAnsiTheme="minorHAnsi" w:cs="Times New Roman"/>
          <w:lang w:eastAsia="pt-BR"/>
        </w:rPr>
        <w:t>) ou do Programa Nacional de Educação no Campo (</w:t>
      </w:r>
      <w:proofErr w:type="spellStart"/>
      <w:r w:rsidRPr="00B11E9E">
        <w:rPr>
          <w:rFonts w:asciiTheme="minorHAnsi" w:eastAsia="Times New Roman" w:hAnsiTheme="minorHAnsi" w:cs="Times New Roman"/>
          <w:lang w:eastAsia="pt-BR"/>
        </w:rPr>
        <w:t>Pronacampo</w:t>
      </w:r>
      <w:proofErr w:type="spellEnd"/>
      <w:r w:rsidRPr="00B11E9E">
        <w:rPr>
          <w:rFonts w:asciiTheme="minorHAnsi" w:eastAsia="Times New Roman" w:hAnsiTheme="minorHAnsi" w:cs="Times New Roman"/>
          <w:lang w:eastAsia="pt-BR"/>
        </w:rPr>
        <w:t>);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..................................................................</w:t>
      </w:r>
      <w:proofErr w:type="gramEnd"/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 xml:space="preserve">c) limite por beneficiário: até </w:t>
      </w:r>
      <w:r>
        <w:rPr>
          <w:rFonts w:asciiTheme="minorHAnsi" w:eastAsia="Times New Roman" w:hAnsiTheme="minorHAnsi" w:cs="Times New Roman"/>
          <w:lang w:eastAsia="pt-BR"/>
        </w:rPr>
        <w:t xml:space="preserve">R$ </w:t>
      </w:r>
      <w:r w:rsidRPr="00B11E9E">
        <w:rPr>
          <w:rFonts w:asciiTheme="minorHAnsi" w:eastAsia="Times New Roman" w:hAnsiTheme="minorHAnsi" w:cs="Times New Roman"/>
          <w:lang w:eastAsia="pt-BR"/>
        </w:rPr>
        <w:t>15.000,00 (quinze mil reais), observado que: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 xml:space="preserve">I - podem ser concedidos até 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3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 xml:space="preserve"> (três) financiamentos para cada beneficiário, respeitado o disposto no MCR 10-1-22;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>II - a contratação do novo crédito fica condicionada à prévia liquidação do financiamento anterior;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............................................................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>” (NR)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lastRenderedPageBreak/>
        <w:t xml:space="preserve">Art. 7º  A alínea “c” do item 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1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 xml:space="preserve"> da Seção 11 (Crédito de Custeio para Agroindústria Familiar – Pronaf Custeio de Agroindústria Familiar) do Capítulo 10 do MCR passa a vigorar com a seguinte redação: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>“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c)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 xml:space="preserve"> ..............................................................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 xml:space="preserve">I - pessoa física: até </w:t>
      </w:r>
      <w:r>
        <w:rPr>
          <w:rFonts w:asciiTheme="minorHAnsi" w:eastAsia="Times New Roman" w:hAnsiTheme="minorHAnsi" w:cs="Times New Roman"/>
          <w:lang w:eastAsia="pt-BR"/>
        </w:rPr>
        <w:t xml:space="preserve">R$ </w:t>
      </w:r>
      <w:r w:rsidRPr="00B11E9E">
        <w:rPr>
          <w:rFonts w:asciiTheme="minorHAnsi" w:eastAsia="Times New Roman" w:hAnsiTheme="minorHAnsi" w:cs="Times New Roman"/>
          <w:lang w:eastAsia="pt-BR"/>
        </w:rPr>
        <w:t>12.000,00 (doze mil reais);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..................................................................</w:t>
      </w:r>
      <w:proofErr w:type="gramEnd"/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 xml:space="preserve">III - associações: até </w:t>
      </w:r>
      <w:r>
        <w:rPr>
          <w:rFonts w:asciiTheme="minorHAnsi" w:eastAsia="Times New Roman" w:hAnsiTheme="minorHAnsi" w:cs="Times New Roman"/>
          <w:lang w:eastAsia="pt-BR"/>
        </w:rPr>
        <w:t xml:space="preserve">R$ </w:t>
      </w:r>
      <w:r w:rsidRPr="00B11E9E">
        <w:rPr>
          <w:rFonts w:asciiTheme="minorHAnsi" w:eastAsia="Times New Roman" w:hAnsiTheme="minorHAnsi" w:cs="Times New Roman"/>
          <w:lang w:eastAsia="pt-BR"/>
        </w:rPr>
        <w:t xml:space="preserve">4.000.000,00 (quatro milhões de reais), observado o limite individual de </w:t>
      </w:r>
      <w:proofErr w:type="gramStart"/>
      <w:r>
        <w:rPr>
          <w:rFonts w:asciiTheme="minorHAnsi" w:eastAsia="Times New Roman" w:hAnsiTheme="minorHAnsi" w:cs="Times New Roman"/>
          <w:lang w:eastAsia="pt-BR"/>
        </w:rPr>
        <w:t xml:space="preserve">R$ </w:t>
      </w:r>
      <w:r w:rsidRPr="00B11E9E">
        <w:rPr>
          <w:rFonts w:asciiTheme="minorHAnsi" w:eastAsia="Times New Roman" w:hAnsiTheme="minorHAnsi" w:cs="Times New Roman"/>
          <w:lang w:eastAsia="pt-BR"/>
        </w:rPr>
        <w:t>12.000,00 (doze mil reais) por associado relacionado na DAP pessoa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 xml:space="preserve"> jurídica emitida para a associação;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 xml:space="preserve">IV - cooperativa singular: até </w:t>
      </w:r>
      <w:r>
        <w:rPr>
          <w:rFonts w:asciiTheme="minorHAnsi" w:eastAsia="Times New Roman" w:hAnsiTheme="minorHAnsi" w:cs="Times New Roman"/>
          <w:lang w:eastAsia="pt-BR"/>
        </w:rPr>
        <w:t xml:space="preserve">R$ </w:t>
      </w:r>
      <w:r w:rsidRPr="00B11E9E">
        <w:rPr>
          <w:rFonts w:asciiTheme="minorHAnsi" w:eastAsia="Times New Roman" w:hAnsiTheme="minorHAnsi" w:cs="Times New Roman"/>
          <w:lang w:eastAsia="pt-BR"/>
        </w:rPr>
        <w:t xml:space="preserve">10.000.000,00 (dez milhões de reais), observado o limite individual de </w:t>
      </w:r>
      <w:proofErr w:type="gramStart"/>
      <w:r>
        <w:rPr>
          <w:rFonts w:asciiTheme="minorHAnsi" w:eastAsia="Times New Roman" w:hAnsiTheme="minorHAnsi" w:cs="Times New Roman"/>
          <w:lang w:eastAsia="pt-BR"/>
        </w:rPr>
        <w:t xml:space="preserve">R$ </w:t>
      </w:r>
      <w:r w:rsidRPr="00B11E9E">
        <w:rPr>
          <w:rFonts w:asciiTheme="minorHAnsi" w:eastAsia="Times New Roman" w:hAnsiTheme="minorHAnsi" w:cs="Times New Roman"/>
          <w:lang w:eastAsia="pt-BR"/>
        </w:rPr>
        <w:t>12.000,00 (doze mil reais) por associado relacionado na DAP pessoa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 xml:space="preserve"> jurídica emitida para a cooperativa;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............................................................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>” (NR)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 xml:space="preserve">Art. 8º  A alínea “g” do item 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1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 xml:space="preserve"> da Seção 12 (Crédito para Integralização de Cotas-Partes por Beneficiários do Pronaf Cooperativados – Pronaf Cotas-Partes) do Capítulo 10 do MCR passa a vigorar com a seguinte redação: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>“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g)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 xml:space="preserve"> para obtenção do financiamento, a cooperativa deve apresentar à instituição financeira a DAP pessoa jurídica ativa, conforme definido pelo Ministério do Desenvolvimento Agrário (MDA).” (NR)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 xml:space="preserve">Art. 9º  A Seção 13 (Microcrédito Produtivo Rural – Grupo “B”) do Capítulo 10 do MCR passa a vigorar com nova redação para a alínea “c” do item 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1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 xml:space="preserve"> e acrescida do item 6, da seguinte forma: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>“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c)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 xml:space="preserve"> limite por beneficiário: </w:t>
      </w:r>
      <w:r>
        <w:rPr>
          <w:rFonts w:asciiTheme="minorHAnsi" w:eastAsia="Times New Roman" w:hAnsiTheme="minorHAnsi" w:cs="Times New Roman"/>
          <w:lang w:eastAsia="pt-BR"/>
        </w:rPr>
        <w:t xml:space="preserve">R$ </w:t>
      </w:r>
      <w:r w:rsidRPr="00B11E9E">
        <w:rPr>
          <w:rFonts w:asciiTheme="minorHAnsi" w:eastAsia="Times New Roman" w:hAnsiTheme="minorHAnsi" w:cs="Times New Roman"/>
          <w:lang w:eastAsia="pt-BR"/>
        </w:rPr>
        <w:t xml:space="preserve">2.500,00 (dois mil e quinhentos reais), independente do número de operações, podendo esse limite ser elevado para até </w:t>
      </w:r>
      <w:r>
        <w:rPr>
          <w:rFonts w:asciiTheme="minorHAnsi" w:eastAsia="Times New Roman" w:hAnsiTheme="minorHAnsi" w:cs="Times New Roman"/>
          <w:lang w:eastAsia="pt-BR"/>
        </w:rPr>
        <w:t xml:space="preserve">R$ </w:t>
      </w:r>
      <w:r w:rsidRPr="00B11E9E">
        <w:rPr>
          <w:rFonts w:asciiTheme="minorHAnsi" w:eastAsia="Times New Roman" w:hAnsiTheme="minorHAnsi" w:cs="Times New Roman"/>
          <w:lang w:eastAsia="pt-BR"/>
        </w:rPr>
        <w:t>4.000,00 (quatro mil reais) quando se aplicar a metodologia do Programa Nacional de Microcrédito Produtivo Orientado (PNMPO), observado que: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 xml:space="preserve">I - o somatório dos financiamentos concedidos a famílias de agricultores desse grupo, com direito a bônus de adimplência, não excederá </w:t>
      </w:r>
      <w:r>
        <w:rPr>
          <w:rFonts w:asciiTheme="minorHAnsi" w:eastAsia="Times New Roman" w:hAnsiTheme="minorHAnsi" w:cs="Times New Roman"/>
          <w:lang w:eastAsia="pt-BR"/>
        </w:rPr>
        <w:t xml:space="preserve">R$ </w:t>
      </w:r>
      <w:r w:rsidRPr="00B11E9E">
        <w:rPr>
          <w:rFonts w:asciiTheme="minorHAnsi" w:eastAsia="Times New Roman" w:hAnsiTheme="minorHAnsi" w:cs="Times New Roman"/>
          <w:lang w:eastAsia="pt-BR"/>
        </w:rPr>
        <w:t xml:space="preserve">7.500,00 (sete mil e quinhentos reais) ou </w:t>
      </w:r>
      <w:r>
        <w:rPr>
          <w:rFonts w:asciiTheme="minorHAnsi" w:eastAsia="Times New Roman" w:hAnsiTheme="minorHAnsi" w:cs="Times New Roman"/>
          <w:lang w:eastAsia="pt-BR"/>
        </w:rPr>
        <w:t xml:space="preserve">R$ </w:t>
      </w:r>
      <w:r w:rsidRPr="00B11E9E">
        <w:rPr>
          <w:rFonts w:asciiTheme="minorHAnsi" w:eastAsia="Times New Roman" w:hAnsiTheme="minorHAnsi" w:cs="Times New Roman"/>
          <w:lang w:eastAsia="pt-BR"/>
        </w:rPr>
        <w:t>12.000,00 (doze mil reais) quando aplicada a metodologia do PNMPO;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............................................................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>” (NR)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“6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 xml:space="preserve"> - Admite-se a contratação de financiamento nesta linha com previsão de renovação simplificada, exclusivamente quando adotada a metodologia do Programa Nacional de Microcrédito Produtivo Orientado (PNMPO), observado o disposto nesta Seção e as seguintes condições específicas: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>a) prazo: até 24 (vinte e quatro) meses, com renovação a partir do dia seguinte ao do pagamento do crédito referente ao financiamento anterior;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>b) a cada renovação, a instituição financeira fica obrigada a exigir do mutuário, no mínimo: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>I - orçamento simplificado contendo as inversões a serem financiadas, com os respectivos valores atualizados, efetuando o devido registro no Sistema de Operações do Crédito Rural e do Proagro, quando for o caso;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>II - a comprovação da implantação do investimento objeto do crédito anterior, mediante laudo;</w:t>
      </w:r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>c) a comprovação de que trata o inciso II da alínea “b” será realizada em pelo menos 30% (trinta por cento) das operações a serem renovadas.” (NR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)</w:t>
      </w:r>
      <w:proofErr w:type="gramEnd"/>
    </w:p>
    <w:p w:rsidR="00B11E9E" w:rsidRPr="00B11E9E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lastRenderedPageBreak/>
        <w:t>Art. 10.  Esta Resolução entra em vigor em 1º de julho de 2014.</w:t>
      </w:r>
    </w:p>
    <w:p w:rsidR="009B2B9F" w:rsidRDefault="00B11E9E" w:rsidP="00B11E9E">
      <w:pPr>
        <w:spacing w:before="120" w:after="0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t xml:space="preserve">Art. 11.  Fica revogado o item </w:t>
      </w:r>
      <w:proofErr w:type="gramStart"/>
      <w:r w:rsidRPr="00B11E9E">
        <w:rPr>
          <w:rFonts w:asciiTheme="minorHAnsi" w:eastAsia="Times New Roman" w:hAnsiTheme="minorHAnsi" w:cs="Times New Roman"/>
          <w:lang w:eastAsia="pt-BR"/>
        </w:rPr>
        <w:t>2</w:t>
      </w:r>
      <w:proofErr w:type="gramEnd"/>
      <w:r w:rsidRPr="00B11E9E">
        <w:rPr>
          <w:rFonts w:asciiTheme="minorHAnsi" w:eastAsia="Times New Roman" w:hAnsiTheme="minorHAnsi" w:cs="Times New Roman"/>
          <w:lang w:eastAsia="pt-BR"/>
        </w:rPr>
        <w:t xml:space="preserve"> da Seção 11 (Crédito de Custeio para Agroindústria Familiar – Pronaf Custeio de Agroindústria Familiar) do Capítulo 10 do MCR.</w:t>
      </w:r>
    </w:p>
    <w:p w:rsidR="00B11E9E" w:rsidRDefault="00B11E9E" w:rsidP="009B2B9F">
      <w:pPr>
        <w:spacing w:before="120" w:after="0"/>
        <w:jc w:val="center"/>
        <w:rPr>
          <w:rFonts w:asciiTheme="minorHAnsi" w:eastAsia="Times New Roman" w:hAnsiTheme="minorHAnsi" w:cs="Times New Roman"/>
          <w:lang w:eastAsia="pt-BR"/>
        </w:rPr>
      </w:pPr>
      <w:r w:rsidRPr="00B11E9E">
        <w:rPr>
          <w:rFonts w:asciiTheme="minorHAnsi" w:eastAsia="Times New Roman" w:hAnsiTheme="minorHAnsi" w:cs="Times New Roman"/>
          <w:lang w:eastAsia="pt-BR"/>
        </w:rPr>
        <w:br/>
      </w:r>
      <w:r w:rsidRPr="00B11E9E">
        <w:rPr>
          <w:rFonts w:asciiTheme="minorHAnsi" w:eastAsia="Times New Roman" w:hAnsiTheme="minorHAnsi" w:cs="Times New Roman"/>
          <w:lang w:eastAsia="pt-BR"/>
        </w:rPr>
        <w:br/>
      </w:r>
      <w:r w:rsidRPr="00B11E9E">
        <w:rPr>
          <w:rFonts w:asciiTheme="minorHAnsi" w:eastAsia="Times New Roman" w:hAnsiTheme="minorHAnsi" w:cs="Times New Roman"/>
          <w:lang w:eastAsia="pt-BR"/>
        </w:rPr>
        <w:br/>
        <w:t xml:space="preserve">Alexandre </w:t>
      </w:r>
      <w:proofErr w:type="spellStart"/>
      <w:r w:rsidRPr="00B11E9E">
        <w:rPr>
          <w:rFonts w:asciiTheme="minorHAnsi" w:eastAsia="Times New Roman" w:hAnsiTheme="minorHAnsi" w:cs="Times New Roman"/>
          <w:lang w:eastAsia="pt-BR"/>
        </w:rPr>
        <w:t>Antonio</w:t>
      </w:r>
      <w:proofErr w:type="spellEnd"/>
      <w:r w:rsidRPr="00B11E9E">
        <w:rPr>
          <w:rFonts w:asciiTheme="minorHAnsi" w:eastAsia="Times New Roman" w:hAnsiTheme="minorHAnsi" w:cs="Times New Roman"/>
          <w:lang w:eastAsia="pt-BR"/>
        </w:rPr>
        <w:t xml:space="preserve"> </w:t>
      </w:r>
      <w:proofErr w:type="spellStart"/>
      <w:r w:rsidRPr="00B11E9E">
        <w:rPr>
          <w:rFonts w:asciiTheme="minorHAnsi" w:eastAsia="Times New Roman" w:hAnsiTheme="minorHAnsi" w:cs="Times New Roman"/>
          <w:lang w:eastAsia="pt-BR"/>
        </w:rPr>
        <w:t>Tombini</w:t>
      </w:r>
      <w:proofErr w:type="spellEnd"/>
      <w:r w:rsidRPr="00B11E9E">
        <w:rPr>
          <w:rFonts w:asciiTheme="minorHAnsi" w:eastAsia="Times New Roman" w:hAnsiTheme="minorHAnsi" w:cs="Times New Roman"/>
          <w:lang w:eastAsia="pt-BR"/>
        </w:rPr>
        <w:br/>
        <w:t>Presidente do Banco Central do Brasil</w:t>
      </w:r>
    </w:p>
    <w:sectPr w:rsidR="00B11E9E" w:rsidSect="00662174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65236"/>
    <w:multiLevelType w:val="multilevel"/>
    <w:tmpl w:val="2B92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FB"/>
    <w:rsid w:val="001A0F16"/>
    <w:rsid w:val="002A691E"/>
    <w:rsid w:val="0036751F"/>
    <w:rsid w:val="003C12FB"/>
    <w:rsid w:val="00662174"/>
    <w:rsid w:val="0082206E"/>
    <w:rsid w:val="009B2B9F"/>
    <w:rsid w:val="00B11E9E"/>
    <w:rsid w:val="00C0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C12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1E9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C12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1E9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1483">
          <w:marLeft w:val="10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01755">
                  <w:marLeft w:val="0"/>
                  <w:marRight w:val="0"/>
                  <w:marTop w:val="0"/>
                  <w:marBottom w:val="0"/>
                  <w:divBdr>
                    <w:top w:val="single" w:sz="6" w:space="31" w:color="4A73A2"/>
                    <w:left w:val="single" w:sz="6" w:space="8" w:color="4A73A2"/>
                    <w:bottom w:val="single" w:sz="6" w:space="31" w:color="4A73A2"/>
                    <w:right w:val="single" w:sz="6" w:space="8" w:color="4A73A2"/>
                  </w:divBdr>
                  <w:divsChild>
                    <w:div w:id="11818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0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4" w:color="auto"/>
                            <w:bottom w:val="single" w:sz="6" w:space="0" w:color="auto"/>
                            <w:right w:val="single" w:sz="2" w:space="4" w:color="auto"/>
                          </w:divBdr>
                        </w:div>
                      </w:divsChild>
                    </w:div>
                    <w:div w:id="8693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71445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1957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de Oliveira Poleze</dc:creator>
  <cp:lastModifiedBy>Paulo de Oliveira Poleze</cp:lastModifiedBy>
  <cp:revision>1</cp:revision>
  <dcterms:created xsi:type="dcterms:W3CDTF">2014-06-23T11:43:00Z</dcterms:created>
  <dcterms:modified xsi:type="dcterms:W3CDTF">2014-06-23T12:34:00Z</dcterms:modified>
</cp:coreProperties>
</file>